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6909D">
      <w:pPr>
        <w:jc w:val="center"/>
        <w:rPr>
          <w:rFonts w:hint="eastAsia" w:ascii="方正公文小标宋" w:hAnsi="方正公文小标宋" w:eastAsia="方正公文小标宋" w:cs="方正公文小标宋"/>
          <w:sz w:val="32"/>
          <w:szCs w:val="32"/>
          <w:lang w:eastAsia="zh-CN"/>
        </w:rPr>
      </w:pPr>
      <w:bookmarkStart w:id="0" w:name="_GoBack"/>
      <w:r>
        <w:rPr>
          <w:rFonts w:hint="eastAsia" w:ascii="方正公文小标宋" w:hAnsi="方正公文小标宋" w:eastAsia="方正公文小标宋" w:cs="方正公文小标宋"/>
          <w:sz w:val="36"/>
          <w:szCs w:val="36"/>
        </w:rPr>
        <w:t>采购</w:t>
      </w:r>
      <w:r>
        <w:rPr>
          <w:rFonts w:hint="eastAsia" w:ascii="方正公文小标宋" w:hAnsi="方正公文小标宋" w:eastAsia="方正公文小标宋" w:cs="方正公文小标宋"/>
          <w:sz w:val="36"/>
          <w:szCs w:val="36"/>
          <w:lang w:val="en-US" w:eastAsia="zh-CN"/>
        </w:rPr>
        <w:t>货物产品规格及</w:t>
      </w:r>
      <w:r>
        <w:rPr>
          <w:rFonts w:hint="eastAsia" w:ascii="方正公文小标宋" w:hAnsi="方正公文小标宋" w:eastAsia="方正公文小标宋" w:cs="方正公文小标宋"/>
          <w:sz w:val="36"/>
          <w:szCs w:val="36"/>
        </w:rPr>
        <w:t>清单</w:t>
      </w:r>
      <w:r>
        <w:rPr>
          <w:rFonts w:hint="eastAsia" w:ascii="方正公文小标宋" w:hAnsi="方正公文小标宋" w:eastAsia="方正公文小标宋" w:cs="方正公文小标宋"/>
          <w:sz w:val="36"/>
          <w:szCs w:val="36"/>
        </w:rPr>
        <w:br w:type="textWrapping"/>
      </w:r>
      <w:bookmarkEnd w:id="0"/>
      <w:r>
        <w:rPr>
          <w:rFonts w:hint="eastAsia" w:ascii="方正公文小标宋" w:hAnsi="方正公文小标宋" w:eastAsia="方正公文小标宋" w:cs="方正公文小标宋"/>
          <w:sz w:val="32"/>
          <w:szCs w:val="32"/>
          <w:lang w:eastAsia="zh-CN"/>
        </w:rPr>
        <w:t>（</w:t>
      </w:r>
      <w:r>
        <w:rPr>
          <w:rFonts w:hint="eastAsia" w:ascii="方正公文小标宋" w:hAnsi="方正公文小标宋" w:eastAsia="方正公文小标宋" w:cs="方正公文小标宋"/>
          <w:sz w:val="32"/>
          <w:szCs w:val="32"/>
          <w:lang w:val="en-US" w:eastAsia="zh-CN"/>
        </w:rPr>
        <w:t>校办室提供</w:t>
      </w:r>
      <w:r>
        <w:rPr>
          <w:rFonts w:hint="eastAsia" w:ascii="方正公文小标宋" w:hAnsi="方正公文小标宋" w:eastAsia="方正公文小标宋" w:cs="方正公文小标宋"/>
          <w:sz w:val="32"/>
          <w:szCs w:val="32"/>
          <w:lang w:eastAsia="zh-CN"/>
        </w:rPr>
        <w:t>）</w:t>
      </w:r>
    </w:p>
    <w:p w14:paraId="4554FA54"/>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18"/>
        <w:gridCol w:w="1824"/>
        <w:gridCol w:w="4838"/>
        <w:gridCol w:w="618"/>
        <w:gridCol w:w="619"/>
      </w:tblGrid>
      <w:tr w14:paraId="5A0DA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nil"/>
            </w:tcBorders>
            <w:shd w:val="clear"/>
            <w:noWrap/>
            <w:vAlign w:val="center"/>
          </w:tcPr>
          <w:p w14:paraId="31B66D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923" w:type="pct"/>
            <w:tcBorders>
              <w:top w:val="single" w:color="000000" w:sz="4" w:space="0"/>
              <w:left w:val="single" w:color="000000" w:sz="4" w:space="0"/>
              <w:bottom w:val="nil"/>
              <w:right w:val="single" w:color="000000" w:sz="4" w:space="0"/>
            </w:tcBorders>
            <w:shd w:val="clear"/>
            <w:noWrap/>
            <w:vAlign w:val="center"/>
          </w:tcPr>
          <w:p w14:paraId="157970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产品名称</w:t>
            </w:r>
          </w:p>
        </w:tc>
        <w:tc>
          <w:tcPr>
            <w:tcW w:w="3459" w:type="pct"/>
            <w:tcBorders>
              <w:top w:val="single" w:color="000000" w:sz="4" w:space="0"/>
              <w:left w:val="single" w:color="000000" w:sz="4" w:space="0"/>
              <w:bottom w:val="nil"/>
              <w:right w:val="single" w:color="000000" w:sz="4" w:space="0"/>
            </w:tcBorders>
            <w:shd w:val="clear"/>
            <w:noWrap/>
            <w:vAlign w:val="center"/>
          </w:tcPr>
          <w:p w14:paraId="0C608C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产品规格</w:t>
            </w:r>
          </w:p>
        </w:tc>
        <w:tc>
          <w:tcPr>
            <w:tcW w:w="205" w:type="pct"/>
            <w:tcBorders>
              <w:top w:val="single" w:color="000000" w:sz="4" w:space="0"/>
              <w:left w:val="single" w:color="000000" w:sz="4" w:space="0"/>
              <w:bottom w:val="nil"/>
              <w:right w:val="single" w:color="000000" w:sz="4" w:space="0"/>
            </w:tcBorders>
            <w:shd w:val="clear"/>
            <w:noWrap/>
            <w:vAlign w:val="center"/>
          </w:tcPr>
          <w:p w14:paraId="7B96EA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c>
          <w:tcPr>
            <w:tcW w:w="205" w:type="pct"/>
            <w:tcBorders>
              <w:top w:val="single" w:color="000000" w:sz="4" w:space="0"/>
              <w:left w:val="single" w:color="000000" w:sz="4" w:space="0"/>
              <w:bottom w:val="nil"/>
              <w:right w:val="single" w:color="000000" w:sz="4" w:space="0"/>
            </w:tcBorders>
            <w:shd w:val="clear"/>
            <w:noWrap/>
            <w:vAlign w:val="center"/>
          </w:tcPr>
          <w:p w14:paraId="39D775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数量</w:t>
            </w:r>
          </w:p>
        </w:tc>
      </w:tr>
      <w:tr w14:paraId="412A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nil"/>
            </w:tcBorders>
            <w:shd w:val="clear"/>
            <w:noWrap/>
            <w:vAlign w:val="center"/>
          </w:tcPr>
          <w:p w14:paraId="0B3E67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一</w:t>
            </w:r>
          </w:p>
        </w:tc>
        <w:tc>
          <w:tcPr>
            <w:tcW w:w="923" w:type="pct"/>
            <w:tcBorders>
              <w:top w:val="single" w:color="000000" w:sz="4" w:space="0"/>
              <w:left w:val="single" w:color="000000" w:sz="4" w:space="0"/>
              <w:bottom w:val="nil"/>
              <w:right w:val="single" w:color="000000" w:sz="4" w:space="0"/>
            </w:tcBorders>
            <w:shd w:val="clear"/>
            <w:noWrap/>
            <w:vAlign w:val="center"/>
          </w:tcPr>
          <w:p w14:paraId="591071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3#教学楼数字广播</w:t>
            </w:r>
          </w:p>
        </w:tc>
        <w:tc>
          <w:tcPr>
            <w:tcW w:w="3459" w:type="pct"/>
            <w:tcBorders>
              <w:top w:val="single" w:color="000000" w:sz="4" w:space="0"/>
              <w:left w:val="nil"/>
              <w:bottom w:val="nil"/>
              <w:right w:val="single" w:color="000000" w:sz="4" w:space="0"/>
            </w:tcBorders>
            <w:shd w:val="clear"/>
            <w:noWrap/>
            <w:vAlign w:val="center"/>
          </w:tcPr>
          <w:p w14:paraId="29581DC8">
            <w:pPr>
              <w:jc w:val="center"/>
              <w:rPr>
                <w:rFonts w:hint="eastAsia" w:ascii="宋体" w:hAnsi="宋体" w:eastAsia="宋体" w:cs="宋体"/>
                <w:b/>
                <w:bCs/>
                <w:i w:val="0"/>
                <w:iCs w:val="0"/>
                <w:color w:val="000000"/>
                <w:sz w:val="20"/>
                <w:szCs w:val="20"/>
                <w:u w:val="none"/>
              </w:rPr>
            </w:pPr>
          </w:p>
        </w:tc>
        <w:tc>
          <w:tcPr>
            <w:tcW w:w="205" w:type="pct"/>
            <w:tcBorders>
              <w:top w:val="single" w:color="000000" w:sz="4" w:space="0"/>
              <w:left w:val="single" w:color="000000" w:sz="4" w:space="0"/>
              <w:bottom w:val="nil"/>
              <w:right w:val="single" w:color="000000" w:sz="4" w:space="0"/>
            </w:tcBorders>
            <w:shd w:val="clear"/>
            <w:noWrap/>
            <w:vAlign w:val="center"/>
          </w:tcPr>
          <w:p w14:paraId="2CBABDF5">
            <w:pPr>
              <w:jc w:val="center"/>
              <w:rPr>
                <w:rFonts w:hint="eastAsia" w:ascii="宋体" w:hAnsi="宋体" w:eastAsia="宋体" w:cs="宋体"/>
                <w:b/>
                <w:bCs/>
                <w:i w:val="0"/>
                <w:iCs w:val="0"/>
                <w:color w:val="000000"/>
                <w:sz w:val="20"/>
                <w:szCs w:val="20"/>
                <w:u w:val="none"/>
              </w:rPr>
            </w:pPr>
          </w:p>
        </w:tc>
        <w:tc>
          <w:tcPr>
            <w:tcW w:w="205" w:type="pct"/>
            <w:tcBorders>
              <w:top w:val="single" w:color="000000" w:sz="4" w:space="0"/>
              <w:left w:val="single" w:color="000000" w:sz="4" w:space="0"/>
              <w:bottom w:val="nil"/>
              <w:right w:val="single" w:color="000000" w:sz="4" w:space="0"/>
            </w:tcBorders>
            <w:shd w:val="clear"/>
            <w:noWrap/>
            <w:vAlign w:val="center"/>
          </w:tcPr>
          <w:p w14:paraId="709F4CAD">
            <w:pPr>
              <w:jc w:val="center"/>
              <w:rPr>
                <w:rFonts w:hint="eastAsia" w:ascii="宋体" w:hAnsi="宋体" w:eastAsia="宋体" w:cs="宋体"/>
                <w:b/>
                <w:bCs/>
                <w:i w:val="0"/>
                <w:iCs w:val="0"/>
                <w:color w:val="000000"/>
                <w:sz w:val="20"/>
                <w:szCs w:val="20"/>
                <w:u w:val="none"/>
              </w:rPr>
            </w:pPr>
          </w:p>
        </w:tc>
      </w:tr>
      <w:tr w14:paraId="0895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58890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5C7E26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控制主机</w:t>
            </w:r>
          </w:p>
        </w:tc>
        <w:tc>
          <w:tcPr>
            <w:tcW w:w="3459" w:type="pct"/>
            <w:tcBorders>
              <w:top w:val="single" w:color="000000" w:sz="4" w:space="0"/>
              <w:left w:val="nil"/>
              <w:bottom w:val="single" w:color="000000" w:sz="4" w:space="0"/>
              <w:right w:val="single" w:color="000000" w:sz="4" w:space="0"/>
            </w:tcBorders>
            <w:shd w:val="clear"/>
            <w:vAlign w:val="center"/>
          </w:tcPr>
          <w:p w14:paraId="4F3E5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1.采用工控机机箱设计，具有LED液晶显示屏，支持触摸控制屏；服务器运载Windows Server 2008 R2 Standard(x64),Windows Server 2012 R2 Standard(x64)及以上操作系统。</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2.支持≥1路短路触发开机接口，用于实现定时驱动开机运行。</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3.具有≥8×USB接口、≥6×串口接口、≥2×千兆网口。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4.采用的处理器配置≥4核 ≥4线程 ≥3.2GHz主频。内存：≥8G。硬盘：≥128G mSATA。</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5.设备支持≥1路VGA、≥1路HDMI输出接口。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6.支持操作系统配置通电自动开机、定时自动开机，定时自动关机功能。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7.内置抽拉键盘、内置触控鼠标面板+左右按键设计，支持通过USB接口外接鼠标键盘。</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8.支持录音存储功能，可在后台自定义设置录音文件保存路径。</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▲所投的产品需具有CNCA全国认证认可信息公共服务平台可查证的中国节能认证产品认证证书（提供权威认证机构颁发的证书复印件及平台查证结果截图）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▲所投产品需具有CNCA全国认证认可信息公共服务平台可查证的《中国环境标志产品认证证书 》（提供权威认证机构颁发的证书复印件及平台查证结果截图）</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5B525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5BD4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0980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4CD14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0A78EA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数字化IP网络广播客户端管理软件</w:t>
            </w:r>
          </w:p>
        </w:tc>
        <w:tc>
          <w:tcPr>
            <w:tcW w:w="3459" w:type="pct"/>
            <w:tcBorders>
              <w:top w:val="single" w:color="000000" w:sz="4" w:space="0"/>
              <w:left w:val="nil"/>
              <w:bottom w:val="single" w:color="000000" w:sz="4" w:space="0"/>
              <w:right w:val="single" w:color="000000" w:sz="4" w:space="0"/>
            </w:tcBorders>
            <w:shd w:val="clear"/>
            <w:vAlign w:val="center"/>
          </w:tcPr>
          <w:p w14:paraId="519CB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1.软件是整个系统的运行核心，统一管理系统内所有音频终端，包括寻呼话筒、对讲终端、广播终端和消防接口设备，实时显示音频终端的IP地址、在线状态、任务状态、音量运行状态。</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支撑各音频终端的运行，负责音频流传输管理，响应各音频终端播放请求和音频全双工交换，支持B/S架构，通过网页登陆可进行终端管理、用户管理、节目播放管理、音频文件管理、录音存贮、内部通讯调度处理功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3.管理节目库资源，为所有音频终端器提供定时播放和实时点播媒体服务，响应各终端的节目播放请求，为各音频工作站提供数据接口服务。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4.提供全双工语音数据交换，响应各对讲终端的呼叫和通话请求，支持一键呼叫、一键对讲、一键求助、一键报警通话模式，支持自动接听、手动接听，支持自定义接听提示音。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支持多种呼叫策略，包括无响应转移、占线转移、关机转移，支持时间策略和转移策略自定义设置。支持设置对讲终端呼叫策略，可自定义通话时间0-180S或不受限，可选择是否自动接听，支持自定义选择来电铃声与等待铃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6.支持终端短路输入联动触发，可任意设置联动触发方案和触发终端数量，触发方案包括短路输出、音乐播放、巡更警报。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7.编程定时任务，支持编程多套定时方案，支持选择任意终端和设置任意时间；支持定时任务执行测试、设置重复周期。支持定时任务多种音源选择（音乐播放、声卡采集、终端采集）。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8.支持多套定时打铃方案同时启用，每套定时打铃方案支持多套任务同时进行，支持一键启用/停用所有方案。支持定时打铃功能，支持打铃方案克隆，任务执行与停止控制、定时任务禁用与启用功能。（提供功能界面截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9.支持定时巡更功能，支持自定义巡更任务的执行时间及重复周期，可自定义指示灯闪烁间隔时间0-30s。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10.支持今日任务列表查看，管理今日执行的所有定时任务信息和执行状态。</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11.日志记录系统运行状态，实时记录系统运行及终端工作状态，每次呼叫、通话和广播操作均有记录。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12.支持对≥8路功率分区终端进行功率控制分区设置，通过web页面后台或分控客户端均可设置分区。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13.支持对终端设置时间显示配置，可设置1-6级别亮度值，可设置断网后不显示时间模式。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14.支持对终端设置不同的灯光模式，可分别自定义设置红灯亮、红灯灭、绿灯/蓝灯亮、绿灯/蓝灯灭时间0-10S。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15.支持配置终端冻结时间，在终端被冻结期间禁止终端执行任务。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16.支持广播、对讲、实时采集、终端监听进行录音；支持文本广播功能，可实现将文本转成语音，支持后台调整语速。</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17.支持后台换肤功能，可根据喜好自由切换皮肤主题。</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18.支持终端明细导出功能，支持通过表格方式导出当前系统终端的配置详情。支持批量修改定时任务的时间、执行终端。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▲19.后台功能管理模块自定义；首页快捷入口配置，入口数量提供2*3、3*3、2*4、3*4的排列布局显示。（提供功能界面截图佐证）</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▲20.支持4x100级自定义配置任务优先级(服务器优先级、任务优先级、用户优先级,终端优先级），满足各种优先级任务自动调度。（提供功能界面截图佐证）</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▲20.支持4x100级自定义配置任务优先级(服务器优先级、任务优先级、用户优先级,终端优先级），满足各种优先级任务自动调度。（提供功能界面截图佐证）</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7313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44D50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180DD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0CA97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201181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寻呼话筒</w:t>
            </w:r>
          </w:p>
        </w:tc>
        <w:tc>
          <w:tcPr>
            <w:tcW w:w="3459" w:type="pct"/>
            <w:tcBorders>
              <w:top w:val="single" w:color="000000" w:sz="4" w:space="0"/>
              <w:left w:val="nil"/>
              <w:bottom w:val="single" w:color="000000" w:sz="4" w:space="0"/>
              <w:right w:val="single" w:color="000000" w:sz="4" w:space="0"/>
            </w:tcBorders>
            <w:shd w:val="clear"/>
            <w:vAlign w:val="center"/>
          </w:tcPr>
          <w:p w14:paraId="0DFD75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1.桌面式设计，带有≥7英寸显示屏。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2.自带数字键，功能键界面。支持呼叫分区及多个分区，呼叫全区广播；支持操作呼叫或对讲任意终端。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2.内置≥1路网络硬件音频解码模块。</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4.具有≥1路3.5耳机接口，具有≥1路3.5话筒输入接口，具有≥1路短路输出接口，具有≥1路短路输入接口，具有≥1路音频线路输入接口，具有≥1路音频线路输出接口。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5.支持≥10个按键自定义一键呼叫广播功能。寻呼话筒，对点寻呼。</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6CEF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2A829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783D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542A6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07CD6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交换机1</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0113E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 口全千兆非网管交换机，32Gbps 交换容量，机身拨码支持端口隔离 / 250 米长距传输，端口 6KV 双重防雷，无风扇机架式，3 年质保，</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2A412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61A4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6F57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61627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923" w:type="pct"/>
            <w:tcBorders>
              <w:top w:val="single" w:color="000000" w:sz="4" w:space="0"/>
              <w:left w:val="single" w:color="000000" w:sz="4" w:space="0"/>
              <w:bottom w:val="single" w:color="000000" w:sz="4" w:space="0"/>
              <w:right w:val="single" w:color="000000" w:sz="4" w:space="0"/>
            </w:tcBorders>
            <w:shd w:val="clear"/>
            <w:noWrap/>
            <w:vAlign w:val="center"/>
          </w:tcPr>
          <w:p w14:paraId="4931E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机柜</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24CE3B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22U机柜，600*800*1166mm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8口PDU国标电源插排×1，固定板部件×1,风扇×4,2"重型脚轮×4，M12支脚×4，M6方螺母螺钉×20，内六角扳手×1</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294C9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22D0B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3FB73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4BD9A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1F3B78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电源时序器</w:t>
            </w:r>
          </w:p>
        </w:tc>
        <w:tc>
          <w:tcPr>
            <w:tcW w:w="3459" w:type="pct"/>
            <w:tcBorders>
              <w:top w:val="single" w:color="000000" w:sz="4" w:space="0"/>
              <w:left w:val="nil"/>
              <w:bottom w:val="single" w:color="000000" w:sz="4" w:space="0"/>
              <w:right w:val="single" w:color="000000" w:sz="4" w:space="0"/>
            </w:tcBorders>
            <w:shd w:val="clear"/>
            <w:vAlign w:val="center"/>
          </w:tcPr>
          <w:p w14:paraId="28DDC7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1U 机架式，AC220V/30A 总输入，总功率 6600W；8 路时序输出（4×10A+4×16A）+2 路直通插座，延时 0~999s 可调，上电顺序、关机逆序；带 LCD 电压状态显示、定时开关机、断电记忆；支持 RS232/485 级联、DC5-12V 外部触发；具备总路空开、过流、过欠压、防雷滤波、过热多重保护，铝合金 19 英寸机柜安装，三年质保。</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37823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213C7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1DB94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6E629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70B91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IP网络音箱</w:t>
            </w:r>
          </w:p>
        </w:tc>
        <w:tc>
          <w:tcPr>
            <w:tcW w:w="3459" w:type="pct"/>
            <w:tcBorders>
              <w:top w:val="single" w:color="000000" w:sz="4" w:space="0"/>
              <w:left w:val="nil"/>
              <w:bottom w:val="single" w:color="000000" w:sz="4" w:space="0"/>
              <w:right w:val="single" w:color="000000" w:sz="4" w:space="0"/>
            </w:tcBorders>
            <w:shd w:val="clear"/>
            <w:vAlign w:val="center"/>
          </w:tcPr>
          <w:p w14:paraId="2A5BEE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1.内置≥1路网络硬件音频解码模块,具有≥1路RJ45网络接口，≥100Mbps传输速率。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2.支持≥1路音频线路输入接口，具有独立的音量调节功能。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3.设备集成有数字功放，功率≥2×20W（MAX），≥1路接主音箱，≥1路外接到副音箱。</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4.内置≥2级优先级功能设计：(1)AUX与网络背景音乐信号同级，混音输出。(2)网络报警信号优先AUX与网络背景音乐信号。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5.支持IPv6、IPv4网络协议。</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25CA8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48C11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r>
      <w:tr w14:paraId="222E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6F382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43DC60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交换机2</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194DCE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端口：8 个 10/100/1000M 自适应 RJ45 电口，无 POE、无光口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交换容量：16Gbps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包转发率：11.9Mpps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MAC 地址表：4K</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转发机制：存储转发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供电：外置 DC5V/1A 适配器，整机最大功耗 5W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散热：无风扇自然散热，全金属铁壳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防雷：端口共模 4KV 防雷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尺寸：160 (W)×75 (D)×24 (H) mm，支持壁挂 / 桌面放置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重量：0.27kg</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工作环境：0℃~50℃，湿度 10%~90% 无凝露</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质保：1 年整机质保</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1B4B2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43C1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r>
      <w:tr w14:paraId="702B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F4F9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49B7F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网线</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038E64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国标超五类网线，4箱</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75638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487A1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r>
      <w:tr w14:paraId="58B7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2B802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64D5B9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其他辅材</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257010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线管等本项目全部安装辅材</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357ED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批</w:t>
            </w: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18DAA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7EBC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vAlign w:val="center"/>
          </w:tcPr>
          <w:p w14:paraId="3271C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3166AA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炎培报告厅间响</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1A4286E5">
            <w:pPr>
              <w:jc w:val="left"/>
              <w:rPr>
                <w:rFonts w:hint="eastAsia" w:ascii="宋体" w:hAnsi="宋体" w:eastAsia="宋体" w:cs="宋体"/>
                <w:i w:val="0"/>
                <w:iCs w:val="0"/>
                <w:color w:val="000000"/>
                <w:sz w:val="20"/>
                <w:szCs w:val="20"/>
                <w:u w:val="none"/>
              </w:rPr>
            </w:pP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65494820">
            <w:pPr>
              <w:jc w:val="center"/>
              <w:rPr>
                <w:rFonts w:hint="eastAsia" w:ascii="宋体" w:hAnsi="宋体" w:eastAsia="宋体" w:cs="宋体"/>
                <w:i w:val="0"/>
                <w:iCs w:val="0"/>
                <w:color w:val="000000"/>
                <w:sz w:val="20"/>
                <w:szCs w:val="20"/>
                <w:u w:val="none"/>
              </w:rPr>
            </w:pPr>
          </w:p>
        </w:tc>
        <w:tc>
          <w:tcPr>
            <w:tcW w:w="205" w:type="pct"/>
            <w:tcBorders>
              <w:top w:val="single" w:color="000000" w:sz="4" w:space="0"/>
              <w:left w:val="single" w:color="000000" w:sz="4" w:space="0"/>
              <w:bottom w:val="single" w:color="000000" w:sz="4" w:space="0"/>
              <w:right w:val="single" w:color="000000" w:sz="4" w:space="0"/>
            </w:tcBorders>
            <w:shd w:val="clear"/>
            <w:vAlign w:val="center"/>
          </w:tcPr>
          <w:p w14:paraId="20934F0E">
            <w:pPr>
              <w:jc w:val="center"/>
              <w:rPr>
                <w:rFonts w:hint="eastAsia" w:ascii="宋体" w:hAnsi="宋体" w:eastAsia="宋体" w:cs="宋体"/>
                <w:i w:val="0"/>
                <w:iCs w:val="0"/>
                <w:color w:val="000000"/>
                <w:sz w:val="20"/>
                <w:szCs w:val="20"/>
                <w:u w:val="none"/>
              </w:rPr>
            </w:pPr>
          </w:p>
        </w:tc>
      </w:tr>
      <w:tr w14:paraId="4B3C6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6278B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08ED8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音箱</w:t>
            </w:r>
          </w:p>
        </w:tc>
        <w:tc>
          <w:tcPr>
            <w:tcW w:w="3459" w:type="pct"/>
            <w:tcBorders>
              <w:top w:val="single" w:color="000000" w:sz="4" w:space="0"/>
              <w:left w:val="single" w:color="000000" w:sz="4" w:space="0"/>
              <w:bottom w:val="single" w:color="000000" w:sz="4" w:space="0"/>
              <w:right w:val="single" w:color="000000" w:sz="4" w:space="0"/>
            </w:tcBorders>
            <w:shd w:val="clear"/>
            <w:vAlign w:val="top"/>
          </w:tcPr>
          <w:p w14:paraId="4EA145C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喇叭配置：低音170磁75芯，高音170磁75芯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系统类型：15寸二分频全频音箱</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频率响应：43Hz-20KHz±3dB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灵敏度：108dB/1W/1M@±2dB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额定功率：470W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峰值功率：1880W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标称阻抗：8Ω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低音单元：15″×1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高音单元：3″×1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最大声压级：135dB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连接器：NL4speakon*2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箱体材料:18mm/BB级夹板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表面处理:黑色浮点耐磨喷漆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指向性:80*50(H×V)</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尺寸:430*696*450 MM (W×H×D)</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3AA9B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1AEBE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r>
      <w:tr w14:paraId="29C06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27184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1768A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功放</w:t>
            </w:r>
          </w:p>
        </w:tc>
        <w:tc>
          <w:tcPr>
            <w:tcW w:w="3459" w:type="pct"/>
            <w:tcBorders>
              <w:top w:val="single" w:color="000000" w:sz="4" w:space="0"/>
              <w:left w:val="single" w:color="000000" w:sz="4" w:space="0"/>
              <w:bottom w:val="single" w:color="000000" w:sz="4" w:space="0"/>
              <w:right w:val="single" w:color="000000" w:sz="4" w:space="0"/>
            </w:tcBorders>
            <w:shd w:val="clear"/>
            <w:vAlign w:val="top"/>
          </w:tcPr>
          <w:p w14:paraId="206A66D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专业纯后级功率放大器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输出功率：8Ω 2×1800W，4Ω 2×2800W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桥接功率：8Ω 5600W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频率响应：20Hz-20kHz ±0.5dB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信噪比：≥95dB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总谐波失真：≤0.1% @1KHz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输入灵敏度：0.775V</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输入阻抗：20kΩ(平衡)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阻尼系数：≥250:1 @8Ω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转换速率：35V/μS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冷却方式：智能温控风冷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机箱规格：标准2U机架式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电源：AC 220V/50Hz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保护功能：短路、过载、过热、直流保护</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4453D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13A71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7D72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726E4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6A002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反馈抑制器</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5BDEC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适用范围：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会议、剧场、礼堂、教室、多功能厅等高水准声音要求的场所。</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功能特点：反馈抑制系统具有全自动检测现成啸叫点功能，通过DSP系统对声音进行过滤，高速有效的抑制消叫，有效提升本地扩音声压和清晰度。</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系统设计灵活多变，具备4路万能输入接口，2路平衡输出接口，配有线路输入输出莲花接口，调试简单方便。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每通道具有48V幻象电源，本产品适用现代化教学、会议和远程会议通话。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4路万能输入接口,每路有独立48V供电，两路卡龙口平衡输出。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面板配有电平显示，可显示当前工作状态与信号电平大小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面板一键专业数字反馈抑制模块旁通/反馈模式可转换，无需调式，增加话筒拾音距离 30-100CM以上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面板一键快速校准，最大程度上还原声音的保真度，从而有效抑制更多的反射成分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标准1U机箱，高档拉丝铝合金面板。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1路线路输入莲花接口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1路线路输出莲花接口                                                                                                                                                          立体声声道输入、输出，更兼容其他工程设备。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主机设有音乐音量和系统音量大小调节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1.77吋TFT彩屏显示屏,监控输出电平一目了然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全中文双引擎显示音量大少，操作的每一步CPU都会记录保存数据，减少误操作的发生。</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技术参数：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供电方式：AC~220V，50Hz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消耗功率：30W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频率响应：20Hz~20KHz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采样率：32KHz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THD:&lt;0.1%@1KHz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信噪比：&gt;90dB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信号延时：11ms CMRR：&gt;25dB（50Hz~20KHz）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输入阻抗：话筒输入:47KΩ，线路输入:10KΩ，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音乐输入:10KΩ，远程输入:10KΩ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输出阻抗： 主输出:220Ω，线路输出:1KΩ，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录音输出:1KΩ，远程输出:1KΩ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尺寸：480MM*240MM*45MM</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0723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48735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11960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046DA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5BDC1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电源时序器</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00E87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面板颜色：黑色，2.0寸液品屏显示，配有输出电压实时显示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电力输入条件(单相3线)：AC190-250V 50-60HZ两相（三线：零，火，地）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通道数量：8路万用插座继电器受控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继电器受控输出最大承受单路功率/总功率(无功功率）：6000W/10000W最大承受无功功率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输出电源插座规格：阻燃ABS材料，最大可承受13A电流磷铜材质，标准万用插座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点阵功能显示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液晶电压显示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密码设定开机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顺序开启逆序关闭，自由设定通道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COM中控控制（指令控制）或自带软件控制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时间间隔可调</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自由通道关闭</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级联叠机ID:0-255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中控外控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面板通道独立关闭默认1秒</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每路开关间隔时间/定时时间：默认2秒（可以自由设置）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输出继电器触点电流：30A 277VAC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电路板规格：双面纤维板，主电源走线二次加厚加粗处理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供电规格内皆变压器，适用全球电压AC190-250V 50-60HZ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主电缆线规格：3*6平方电缆线，总长度为1.8米配插头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开启类型：按键式轻触开关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单路独立开关功能：支持面板独立控制（可软件设定控制）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功能显示电压显示表类型：点阵功能显示电压表与功能菜单,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带叠机级联功能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外接控制开关接口:RS232 COM接口控制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随机控制软件及支持中控功能与ID数量分配：自带指令代码与控制软件，支持中控控制，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 ID:0-255</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1012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1573B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1A85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7215A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27661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调音台</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336E4E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12通道设计，8路MIC单声道+2路立体声输入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单声通道100Hz低频衰减开关（高通滤波）</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每通道3段参量均衡，单声道带扫频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4辅助编组输出，2推子前折返，1衰减后辅助，1衰减后效果</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3组AUX母线辅助输出（包括EFF）</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内置24种DSP数字效果器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内置USB播放器，MP3播放，USB直插录音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内置蓝牙5.0接收播放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USB音频声卡（连接电脑）将电脑播放的声音传输到调音台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内置48V幻想电源供电，每通道带独立开关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主输出双7段立体声图示均衡器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USB可与一路立体声切换，USB可独立调节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MP3可与一路立体声切换，MP3可独立调节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每输入通道带ON开关，PEL耳机开关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12段精准三色LED电平灯显示信号状态</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平滑高品质100MM行程推子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尺寸L×W×H(长宽高)：440*460*145（mm）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净重重量：7.5KG</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技术参数：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1.输入灵敏度：麦克风microphone：-60dB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2.立体声通道输入Stereo channel input：-40dB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3.效果发送Echo send：-20dB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4.效果返回Echo back：-20dB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5.输出Output：最大4V</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6.信噪比S/N：83dB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7.均衡Equalization：±15dB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8.高频high：±15dB/12KHZ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9.中频Mid：±15dB/250HZ~4KHZ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10.低频Low：±15dB/60HZ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11.最大输出电平Max output level：20dBm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12.总谐波失真度：0.02%@ 0dB1KHz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13.频率相应：20Hz~20KHz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14.电源输出功率：30w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15.电源电压：100V-240V/50Hz</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85BE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88AB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6953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24A5D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78122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一拖四无线会议主机和配套4支无线鹅颈话筒</w:t>
            </w:r>
          </w:p>
        </w:tc>
        <w:tc>
          <w:tcPr>
            <w:tcW w:w="3459" w:type="pct"/>
            <w:tcBorders>
              <w:top w:val="single" w:color="000000" w:sz="4" w:space="0"/>
              <w:left w:val="single" w:color="000000" w:sz="4" w:space="0"/>
              <w:bottom w:val="single" w:color="000000" w:sz="4" w:space="0"/>
              <w:right w:val="single" w:color="000000" w:sz="4" w:space="0"/>
            </w:tcBorders>
            <w:shd w:val="clear"/>
            <w:vAlign w:val="center"/>
          </w:tcPr>
          <w:p w14:paraId="0879E8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使用UHF612-698MHz频段，应用PLL频率合成锁相环技术，频率可调。</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集成中央处理器CPU的总线控制，配合高清ＬＣＤ点阵液晶界面显示，可分别显示中文、英文、繁体。操作自如，性能出众。</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采用音频压缩一扩展技术，噪音大大减少，动态范围加大。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设有回输啸叫抑制减弱功能，能有效减少回输啸叫。</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接收机具有真分集接收，两支天线同时接收一个发射器的信号，ＣＰＵ自动选择最强信号并选择这个信号。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多重噪音监测电路，特设ID身份码验证系统，使之具有无与伦比的抗干扰特性。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选用极佳晶片及优质零部件，使本机音质极为出色。</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阔最大使用范围150米以上，理想空阔使用范围220米。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接振荡方式:锁相环频率合成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频率范围 : UHF 612MHz- 698MHz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频率稳定性 : +0.001%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最大频率偏 :土50KHz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调制方式 : FM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信噪比 : &gt; 105dB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总谐波失真 :&lt;0.5% @1KHz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接收机灵敏度 : 1.2/ UV @S/N=12dB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电源供应 : DC 12V 1000mA</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音频输出电平 :独立式:0-400mV</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混合式:0-300mV</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71DBD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6483A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04302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60A8C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789E2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1.5米网络机柜</w:t>
            </w:r>
          </w:p>
        </w:tc>
        <w:tc>
          <w:tcPr>
            <w:tcW w:w="3459" w:type="pct"/>
            <w:tcBorders>
              <w:top w:val="single" w:color="000000" w:sz="4" w:space="0"/>
              <w:left w:val="single" w:color="000000" w:sz="4" w:space="0"/>
              <w:bottom w:val="single" w:color="000000" w:sz="4" w:space="0"/>
              <w:right w:val="single" w:color="000000" w:sz="4" w:space="0"/>
            </w:tcBorders>
            <w:shd w:val="clear"/>
            <w:vAlign w:val="top"/>
          </w:tcPr>
          <w:p w14:paraId="2C84C5B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1.5米标准网络机柜</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执行标准：符合ANSI/EIA RS-310-D、IEC297-2、GB/T3047.2-92标准，兼容19"国际标准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容量：27U</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外形尺寸：600mm×600mm×1500mm（宽×深×高）</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材质：SPCC优质冷轧钢板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板材厚度：方孔条2.0mm，安装梁1.5mm，其余1.2mm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表面处理：静电喷塑，黑色</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防护等级：IP20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静载承重：500KG</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配置：前后网孔门带锁，侧门可拆卸，标配风扇、电源插座、层板、脚轮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脚轮：4个承重脚轮，带刹车功能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接地方式：M6接地螺柱</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60E60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42AB6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r w14:paraId="04CEA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rPr>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55C22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923" w:type="pct"/>
            <w:tcBorders>
              <w:top w:val="single" w:color="000000" w:sz="4" w:space="0"/>
              <w:left w:val="single" w:color="000000" w:sz="4" w:space="0"/>
              <w:bottom w:val="single" w:color="000000" w:sz="4" w:space="0"/>
              <w:right w:val="single" w:color="000000" w:sz="4" w:space="0"/>
            </w:tcBorders>
            <w:shd w:val="clear"/>
            <w:vAlign w:val="center"/>
          </w:tcPr>
          <w:p w14:paraId="6E82B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音箱壁架及适配安装线材等</w:t>
            </w:r>
          </w:p>
        </w:tc>
        <w:tc>
          <w:tcPr>
            <w:tcW w:w="3459" w:type="pct"/>
            <w:tcBorders>
              <w:top w:val="single" w:color="000000" w:sz="4" w:space="0"/>
              <w:left w:val="single" w:color="000000" w:sz="4" w:space="0"/>
              <w:bottom w:val="single" w:color="000000" w:sz="4" w:space="0"/>
              <w:right w:val="single" w:color="000000" w:sz="4" w:space="0"/>
            </w:tcBorders>
            <w:shd w:val="clear"/>
            <w:vAlign w:val="top"/>
          </w:tcPr>
          <w:p w14:paraId="552FA81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专业音箱壁挂支架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材质：优质冷轧钢板一体成型</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表面处理：黑色喷塑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最大承重：30KG</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调节角度：水平±10°可调，垂直0°~20°可调</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安装方式：壁挂式，膨胀螺丝固定</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适用范围：15寸及以下专业音箱、卡包音箱</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特点：安装简便，承重能力强，角度多档可调，安全稳固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适配安装线材等</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688F0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205" w:type="pct"/>
            <w:tcBorders>
              <w:top w:val="single" w:color="000000" w:sz="4" w:space="0"/>
              <w:left w:val="single" w:color="000000" w:sz="4" w:space="0"/>
              <w:bottom w:val="single" w:color="000000" w:sz="4" w:space="0"/>
              <w:right w:val="single" w:color="000000" w:sz="4" w:space="0"/>
            </w:tcBorders>
            <w:shd w:val="clear"/>
            <w:noWrap/>
            <w:vAlign w:val="center"/>
          </w:tcPr>
          <w:p w14:paraId="7AAE2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r>
    </w:tbl>
    <w:p w14:paraId="015EB87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1" w:fontKey="{58229A53-38FE-4CF8-AA62-20EC5690A3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B9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C7665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2C7665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0566F4"/>
    <w:rsid w:val="26056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2026-07-21T10:21:00Z</dcterms:created>
  <dc:creator>皖西经校</dc:creator>
  <cp:lastModifiedBy>皖西经校</cp:lastModifiedBy>
  <dcterms:modified xsi:type="dcterms:W3CDTF">2026-07-21T10:25:19Z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C65EA1707BF248BBA7B5CA6A979C395C_11</vt:lpwstr>
  </property>
  <property fmtid="{D5CDD505-2E9C-101B-9397-08002B2CF9AE}" pid="4" name="KSOTemplateDocerSaveRecord">
    <vt:lpwstr>eyJoZGlkIjoiNjg0OWFiN2QwOGI0OWViMmQwYjlkYTYxODFlNzgxMjAiLCJ1c2VySWQiOiIyNjkwODY2MjIifQ==</vt:lpwstr>
  </property>
</Properties>
</file>